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A" w:rsidRPr="001B097A" w:rsidRDefault="001B097A" w:rsidP="001B097A">
      <w:pPr>
        <w:shd w:val="clear" w:color="auto" w:fill="FFFFFF"/>
        <w:spacing w:before="150" w:after="300" w:line="360" w:lineRule="atLeast"/>
        <w:outlineLvl w:val="1"/>
        <w:rPr>
          <w:rFonts w:eastAsia="Times New Roman"/>
          <w:b/>
          <w:bCs/>
          <w:color w:val="222222"/>
          <w:sz w:val="29"/>
          <w:szCs w:val="29"/>
        </w:rPr>
      </w:pPr>
      <w:bookmarkStart w:id="0" w:name="_GoBack"/>
      <w:bookmarkEnd w:id="0"/>
      <w:r w:rsidRPr="001B097A">
        <w:rPr>
          <w:rFonts w:eastAsia="Times New Roman"/>
          <w:b/>
          <w:bCs/>
          <w:color w:val="222222"/>
          <w:sz w:val="29"/>
          <w:szCs w:val="29"/>
        </w:rPr>
        <w:t>Thủ tục giải quyết khiếu nại lần hai</w:t>
      </w:r>
    </w:p>
    <w:tbl>
      <w:tblPr>
        <w:tblW w:w="106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40"/>
        <w:gridCol w:w="7980"/>
      </w:tblGrid>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sz w:val="24"/>
                <w:szCs w:val="24"/>
              </w:rPr>
            </w:pPr>
            <w:r w:rsidRPr="001B097A">
              <w:rPr>
                <w:rFonts w:eastAsia="Times New Roman"/>
                <w:sz w:val="24"/>
                <w:szCs w:val="24"/>
              </w:rPr>
              <w:t xml:space="preserve">Sở </w:t>
            </w:r>
            <w:r>
              <w:rPr>
                <w:rFonts w:eastAsia="Times New Roman"/>
                <w:sz w:val="24"/>
                <w:szCs w:val="24"/>
              </w:rPr>
              <w:t>Giáo dục và Đào tạo</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Lĩnh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sz w:val="24"/>
                <w:szCs w:val="24"/>
              </w:rPr>
            </w:pPr>
            <w:r w:rsidRPr="001B097A">
              <w:rPr>
                <w:rFonts w:eastAsia="Times New Roman"/>
                <w:sz w:val="24"/>
                <w:szCs w:val="24"/>
              </w:rPr>
              <w:t>Khiếu Nại Tố Cáo</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a/ Trình tự thực hiện: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1: </w:t>
            </w:r>
            <w:r w:rsidRPr="001B097A">
              <w:rPr>
                <w:rFonts w:eastAsia="Times New Roman"/>
                <w:sz w:val="24"/>
                <w:szCs w:val="24"/>
              </w:rPr>
              <w:t>Quyết định hành chính, hành vi hành chính của Thủ trưởng cơ quan trực thuộc Sở, ban, ngành đã giải quyết lần đầu nhưng còn khiếu nại hoặc khiếu nại lần đầu đã hết thời hạn nhưng chưa được giải quyết thì người khiếu nại khiếu nại trực tiếp hoặc gửi đơn và các tài liệu liên quan (nếu có) cho Bộ phận tiếp công dân thuộc Sở, ban, ngành.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Thời gian: từ thứ hai đến thứ sáu hàng tuần (trừ các ngày nghỉ theo quy định), sáng từ 07 giờ 30 phút đến 11 giờ 30 phút, chiều từ 13 giờ đến 17 giờ.</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2: Tiếp nhận và thụ lý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Trình tự tiếp nhận: Người tiếp nhận đón tiếp, xác định nhân thân của người đến khiếu nại; xác định tính hợp pháp của người đại diện, người được ủy quyền theo quy định của pháp luật (Điều 5 đến Điều 8 Thông tư 06/2014/TT-TTCP); người tiếp nhận kiểm tra thông tin, tài liệu do người khiếu nại trình bày, cung cấp và phải viết, giao giấy biên nhận các tài liệu đã tiếp nhận cho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Khi người khiếu nại có đơn trình bày nội dung rõ ràng, đầy đủ thì người tiếp nhận cần xác định nội dung vụ việc, yêu cầu của người khiếu nại để xử lý cho phù hợp.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Nếu nội dung đơn khiếu nại không rõ ràng, chưa đầy đủ thì người tiếp nhận đề nghị người khiếu nại viết lại đơn hoặc viết bổ sung vào đơn những nội dung chưa rõ, còn thiếu.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không có đơn khiếu nại thì người tiếp nhận hướng dẫn người khiếu nại viết đơn theo quy định của pháp luật.</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l Nếu người khiếu nại trình bày trực tiếp thì người tiếp nhận ghi chép đầy đủ, trung thực, chính xác nội dung khiếu nại do người khiếu nại trình bày; nội dung nào chưa rõ thì đề nghị người khiếu nại trình bày thêm, sau đó đọc lại cho người khiếu nại nghe và đề nghị người khiếu nại ký tên hoặc điểm chỉ xác nhận vào văn bản. Trường hợp nhiều người đến khiếu nại về cùng một </w:t>
            </w:r>
            <w:r w:rsidRPr="001B097A">
              <w:rPr>
                <w:rFonts w:eastAsia="Times New Roman"/>
                <w:sz w:val="24"/>
                <w:szCs w:val="24"/>
              </w:rPr>
              <w:lastRenderedPageBreak/>
              <w:t>nội dung thì người tiếp nhận hướng dẫn họ cử người đại diện để trình bày nội dung khiếu nại; người tiếp nhận ghi lại nội dung bằng văn bản.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đơn có nhiều nội dung khác nhau thì người tiếp nhận hướng dẫn người khiếu nại tách riêng từng nội dung để gửi đến đúng cơ quan, tổ chức, đơn vị có thẩm quyền giải quyết.</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Trong thời hạn 10 ngày kể từ ngày tiếp nhận khiếu nại thuộc thẩm quyền giải quyết của Thủ trưởng Sở, ban, ngành mà không thuộc một trong các trường hợp được quy định tại Điều 11 của Luật Khiếu nại, người có thẩm quyền phải thụ lý giải quyết và thông báo bằng văn bản cho người khiếu nại, cơ quan, tổ chức, cá nhân có thẩm quyền đã chuyển khiếu nại đến và cơ quan thanh tra nhà nước cùng cấp biết; trường hợp không thụ lý giải quyết thì phải có văn bản nêu rõ lý do.</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Trình tự thụ lý: việc xác minh nội dung khiếu nại được thực hiện theo quy định tại Điều 38 Luật Khiếu nại; Mục 2 chương II của Thông tư số 07/2013/TT-TTCP ngày 31 tháng 10 năm 2013 của Thanh tra Chính phủ quy định quy trình giải quyết khiếu nại hành chính; Mục 2 chương II của Quyết định số 07/2014/QĐ-UBND ngày 11 tháng 02 năm 2014 của Ủy ban nhân dân Thành phố ban hành quy trình giải quyết khiếu nại trên địa bàn Thành phố Hồ Chí Minh.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3: Tổ chức đối thoại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Thủ trưởng Sở, ban, ngành trực tiếp gặp gỡ, đối thoại với người khiếu nại, người bị khiếu nại, người có quyền, nghĩa vụ liên quan để làm rõ nội dung khiếu nại, yêu cầu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Khi đối thoại, Thủ trưởng Sở, ban, ngành nêu rõ nội dung cần đối thoại; kết quả xác minh nội dung khiếu nại; người tham gia đối thoại có quyền phát biểu ý kiến, đưa ra những bằng chứng liên quan đến vụ việc khiếu nại và yêu cầu của mình.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Bước 4: Ra Quyết định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Thủ trưởng Sở, ban, ngành ban hành Quyết định giải quyết khiếu nại </w:t>
            </w:r>
            <w:r w:rsidRPr="001B097A">
              <w:rPr>
                <w:rFonts w:eastAsia="Times New Roman"/>
                <w:sz w:val="24"/>
                <w:szCs w:val="24"/>
              </w:rPr>
              <w:lastRenderedPageBreak/>
              <w:t>lần hai, trong thời hạn: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+ 45 ngày đối với vụ việc bình thường; 60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vùng sâu, vùng xa đi lại khó khăn: 60 ngày đối với vụ việc bình thường; 70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Đối với khiếu nại quyết định kỷ luật của cán bộ, công chức: 30 ngày đối với vụ việc bình thường; 45 ngày đối với vụ việc phức tạp,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Quyết định giải quyết khiếu nại lần hai được gửi cho người khiếu nại, người bị khiếu nại, người giải quyết khiếu nại lần đầu, người có quyền, nghĩa vụ liên quan, cơ quan, tổ chức, cá nhân có thẩm quyền chuyển khiếu nại đến trong thời hạn 07 ngày kể từ ngày ban hành Quyết định giải quyết khiếu nại lần hai (Điều 37, Điều 41, Điều 50 Luật Khiếu nại 2011).</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Quyết định giải quyết khiếu nại lần hai phải được công khai theo quy định tại Khoản 2 Điều 41 Luật Khiếu nại, khoản 3 Điều 22 Thông tư 07/2013/TT-TTCP.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b/</w:t>
            </w:r>
            <w:r w:rsidRPr="001B097A">
              <w:rPr>
                <w:rFonts w:eastAsia="Times New Roman"/>
                <w:sz w:val="24"/>
                <w:szCs w:val="24"/>
              </w:rPr>
              <w:t> </w:t>
            </w:r>
            <w:r w:rsidRPr="001B097A">
              <w:rPr>
                <w:rFonts w:eastAsia="Times New Roman"/>
                <w:b/>
                <w:bCs/>
                <w:sz w:val="24"/>
                <w:szCs w:val="24"/>
              </w:rPr>
              <w:t>Cách thức thực hiện: </w:t>
            </w:r>
            <w:r w:rsidRPr="001B097A">
              <w:rPr>
                <w:rFonts w:eastAsia="Times New Roman"/>
                <w:sz w:val="24"/>
                <w:szCs w:val="24"/>
              </w:rPr>
              <w:t>trực tiếp hoặc qua đường bưu điện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c/ Thành phần, số lượng hồ sơ:</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Thành phần hồ sơ: (Điều 8 Luật Khiếu nại 2011, Điều 10, Khoản 1 Điều 12, Thông tư 06/2014/TT-TTCP)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Đơn có các nội dung theo khoản 2 Điều 8 Luật Khiếu nại 2011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Giấy tờ đại diện (nếu có), ủy quyền (nếu có).</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giải quyết khiếu nại lần đầu.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Các thông tin, tài liệu, bằng chứng có liên quan (nếu có).</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Số lượng hồ sơ: 01 (một) bộ</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d/ Thời hạn giải quyết: </w:t>
            </w:r>
            <w:r w:rsidRPr="001B097A">
              <w:rPr>
                <w:rFonts w:eastAsia="Times New Roman"/>
                <w:sz w:val="24"/>
                <w:szCs w:val="24"/>
              </w:rPr>
              <w:t>(Điều 37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lastRenderedPageBreak/>
              <w:t>- Trường hợp bình thường: 45 ngày; phức tạp: 60 ngày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vùng sâu, vùng xa đi lại khó khăn: 60 ngày; phức tạp 70 ngày kể từ ngày thụ lý.</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Đối với khiếu nại quyết định kỷ luật của cán bộ, công chức: trường hợp bình thường: 30 ngày kể từ ngày thụ lý; trường hợp phức tạp: 45 ngày kể từ ngày thụ lý. (Điều 50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đ/</w:t>
            </w:r>
            <w:r w:rsidRPr="001B097A">
              <w:rPr>
                <w:rFonts w:eastAsia="Times New Roman"/>
                <w:sz w:val="24"/>
                <w:szCs w:val="24"/>
              </w:rPr>
              <w:t> </w:t>
            </w:r>
            <w:r w:rsidRPr="001B097A">
              <w:rPr>
                <w:rFonts w:eastAsia="Times New Roman"/>
                <w:b/>
                <w:bCs/>
                <w:sz w:val="24"/>
                <w:szCs w:val="24"/>
              </w:rPr>
              <w:t>Đối tượng thực hiện thủ tục hành chính:</w:t>
            </w:r>
            <w:r w:rsidRPr="001B097A">
              <w:rPr>
                <w:rFonts w:eastAsia="Times New Roman"/>
                <w:sz w:val="24"/>
                <w:szCs w:val="24"/>
              </w:rPr>
              <w:t> Cá nhân, tổ chức.</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e/ Cơ quan thực hiện thủ tục hành chính: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Cơ quan, người có thẩm quyền quyết định: Thủ trưởng Sở, ban, ngành.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Cơ quan trực tiếp thực hiện TTHC: Thủ trưởng Sở, ban, ngành; Chánh Thanh tra Sở, ban, ngành (Điều 10 của Quy trình giải quyết khiếu nại được ban hành kèm theo Quyết định số 07/2014/QĐ-UBND ngày 11 tháng 02 năm 2014 của Ủy ban nhân dân Thành phố).</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g/ Tên mẫu đơn, mẫu tờ khai: </w:t>
            </w:r>
            <w:r w:rsidRPr="001B097A">
              <w:rPr>
                <w:rFonts w:eastAsia="Times New Roman"/>
                <w:sz w:val="24"/>
                <w:szCs w:val="24"/>
              </w:rPr>
              <w:t>Không</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h/ Phí, lệ phí:</w:t>
            </w:r>
            <w:r w:rsidRPr="001B097A">
              <w:rPr>
                <w:rFonts w:eastAsia="Times New Roman"/>
                <w:sz w:val="24"/>
                <w:szCs w:val="24"/>
              </w:rPr>
              <w:t> Không có</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i/</w:t>
            </w:r>
            <w:r w:rsidRPr="001B097A">
              <w:rPr>
                <w:rFonts w:eastAsia="Times New Roman"/>
                <w:sz w:val="24"/>
                <w:szCs w:val="24"/>
              </w:rPr>
              <w:t> </w:t>
            </w:r>
            <w:r w:rsidRPr="001B097A">
              <w:rPr>
                <w:rFonts w:eastAsia="Times New Roman"/>
                <w:b/>
                <w:bCs/>
                <w:sz w:val="24"/>
                <w:szCs w:val="24"/>
              </w:rPr>
              <w:t>Kết quả thực hiện thủ tục hành chính: </w:t>
            </w:r>
            <w:r w:rsidRPr="001B097A">
              <w:rPr>
                <w:rFonts w:eastAsia="Times New Roman"/>
                <w:sz w:val="24"/>
                <w:szCs w:val="24"/>
              </w:rPr>
              <w:t>Quyết định giải quyết khiếu nại lần hai. (Điều 40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k/ Yêu cầu, điền kiện thực hiện thủ tục hành chính: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Việc khiếu nại phải đảm bảo hình thức khiếu nại như sau: (Điều 8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Việc khiếu nại được thực hiện bằng đơn khiếu nại hoặc khiếu nại trực tiếp.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khiếu nại được thực hiện bằng đơn thì trong đơn khiếu nại phải ghi rõ ngày, tháng, năm khiếu nại; tên, địa chỉ của người khiếu nại; tên, địa chỉ của cơ quan, tổ chức, cá nhân bị khiếu nại; nội dung, lý do khiếu nại, tài liệu liên quan đến nội dung khiếu nại và yêu cầu giải quyết của người khiếu nại. Đơn khiếu nại phải do người khiếu nại ký tên hoặc điểm chỉ.</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xml:space="preserve">+ Trường hợp người khiếu nại đến khiếu nại trực tiếp thì người tiếp nhận khiếu nại hướng dẫn người khiếu nại viết đơn khiếu nại hoặc người tiếp </w:t>
            </w:r>
            <w:r w:rsidRPr="001B097A">
              <w:rPr>
                <w:rFonts w:eastAsia="Times New Roman"/>
                <w:sz w:val="24"/>
                <w:szCs w:val="24"/>
              </w:rPr>
              <w:lastRenderedPageBreak/>
              <w:t>nhận ghi lại việc khiếu nại bằng văn bản và yêu cầu người khiếu nại ký hoặc điểm chỉ xác nhận vào văn bản, trong đó ghi rõ nội dung theo quy định tại khoản 2 Điều 8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Trường hợp nhiều người cùng khiếu nại về một nội dung thì thực hiện như sau:</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khoản 2 Điều 8 Luật Khiếu nại. Việc tiếp nhiều người cùng khiếu nại thực hiện theo quy định tại Chương VII của Luật Tiếp công dân.</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nhiều người khiếu nại bằng đơn thì trong đơn phải ghi rõ nội dung quy định tại khoản 2 Điều 8 Luật Khiếu nại, có chữ ký của những người khiếu nại và phải cử người đại diện để trình bày khi có yêu cầu của người giải quyết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 Trường hợp khiếu nại được thực hiện thông qua người đại diện thì người đại diện phải là một trong những người khiếu nại, có giấy tờ chứng minh tính hợp pháp của việc đại diện và thực hiện khiếu nại theo quy định của Luật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b/>
                <w:bCs/>
                <w:sz w:val="24"/>
                <w:szCs w:val="24"/>
              </w:rPr>
              <w:t>- </w:t>
            </w:r>
            <w:r w:rsidRPr="001B097A">
              <w:rPr>
                <w:rFonts w:eastAsia="Times New Roman"/>
                <w:sz w:val="24"/>
                <w:szCs w:val="24"/>
              </w:rPr>
              <w:t>Khiếu nại thuộc một trong các trường hợp sau đây không được thụ lý giải quyết: (Điều 11 Luật Khiếu nại 2011)</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hành chính, hành vi hành chính bị khiếu nại không liên quan trực tiếp đến quyền, lợi ích hợp pháp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Người khiếu nại không có năng lực hành vi dân sự đầy đủ mà không có người đại diện hợp pháp.</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lastRenderedPageBreak/>
              <w:t>+ Người đại diện không hợp pháp thực hiện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Đơn khiếu nại không có chữ ký hoặc điểm chỉ của người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Thời hiệu, thời hạn khiếu nại đã hết mà không có lý do chính đáng.</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Khiếu nại đã có quyết định giải quyết khiếu nại lần hai.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Có văn bản thông báo đình chỉ việc giải quyết khiếu nại mà sau 30 ngày người khiếu nại không tiếp tục khiếu nại.</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Việc khiếu nại đã được Tòa án thụ lý hoặc đã được giải quyết bằng bản án, quyết định của Toà án, trừ quyết định đình chỉ giải quyết vụ án hành chính của Tòa án.</w:t>
            </w:r>
          </w:p>
          <w:p w:rsidR="001B097A" w:rsidRPr="001B097A" w:rsidRDefault="001B097A" w:rsidP="001B097A">
            <w:pPr>
              <w:spacing w:before="100" w:beforeAutospacing="1" w:after="100" w:afterAutospacing="1" w:line="240" w:lineRule="auto"/>
              <w:rPr>
                <w:rFonts w:eastAsia="Times New Roman"/>
                <w:sz w:val="24"/>
                <w:szCs w:val="24"/>
              </w:rPr>
            </w:pPr>
            <w:r w:rsidRPr="001B097A">
              <w:rPr>
                <w:rFonts w:eastAsia="Times New Roman"/>
                <w:sz w:val="24"/>
                <w:szCs w:val="24"/>
              </w:rPr>
              <w:t> </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lastRenderedPageBreak/>
              <w:t>Cơ sở pháp lý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Luật Khiếu nại năm 2011 có hiệu lực ngày 01/7/2012;</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Nghị định số 75/2012/NĐ-CP ngày 03 tháng 10 năm 2012 của Chính phủ quy định chi tiết một số điều của Luật Khiếu nại có hiệu lực ngày 20/11/2012;</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Thông tư số 07/2013/TT-TTCP ngày 31 tháng 10 năm 2013 của Thanh tra Chính phủ quy định quy trình giải quyết khiếu nại hành chính có hiệu lực ngày 15/12/2014;</w:t>
            </w:r>
          </w:p>
          <w:p w:rsidR="001B097A" w:rsidRPr="001B097A" w:rsidRDefault="001B097A" w:rsidP="001B097A">
            <w:pPr>
              <w:spacing w:before="120" w:after="100" w:afterAutospacing="1" w:line="330" w:lineRule="atLeast"/>
              <w:ind w:firstLine="720"/>
              <w:jc w:val="both"/>
              <w:rPr>
                <w:rFonts w:eastAsia="Times New Roman"/>
                <w:sz w:val="24"/>
                <w:szCs w:val="24"/>
              </w:rPr>
            </w:pPr>
            <w:r w:rsidRPr="001B097A">
              <w:rPr>
                <w:rFonts w:eastAsia="Times New Roman"/>
                <w:sz w:val="24"/>
                <w:szCs w:val="24"/>
              </w:rPr>
              <w:t>- Quyết định số 07/2014/QĐ-UBND ngày 11 tháng 02 năm 2014 của Ủy ban nhân dân Thành phố về ban hành quy trình giải quyết khiếu nại trên địa bàn Thành phố Hồ Chí Minh có hiệu lực ngày 21/2/2014.</w:t>
            </w:r>
          </w:p>
          <w:p w:rsidR="001B097A" w:rsidRPr="001B097A" w:rsidRDefault="001B097A" w:rsidP="001B097A">
            <w:pPr>
              <w:spacing w:before="100" w:beforeAutospacing="1" w:after="100" w:afterAutospacing="1" w:line="240" w:lineRule="auto"/>
              <w:rPr>
                <w:rFonts w:eastAsia="Times New Roman"/>
                <w:sz w:val="24"/>
                <w:szCs w:val="24"/>
              </w:rPr>
            </w:pPr>
            <w:r w:rsidRPr="001B097A">
              <w:rPr>
                <w:rFonts w:eastAsia="Times New Roman"/>
                <w:sz w:val="24"/>
                <w:szCs w:val="24"/>
              </w:rPr>
              <w:t>- </w:t>
            </w:r>
            <w:r w:rsidRPr="001B097A">
              <w:rPr>
                <w:rFonts w:eastAsia="Times New Roman"/>
                <w:sz w:val="20"/>
                <w:szCs w:val="20"/>
              </w:rPr>
              <w:t>Thông tư số 02/2016/TT-TTCP ngày 20 tháng 10 năm 2016 của Thanh tra Chính phủ sửa đổi, bổ sung một số điều của Thông tư số 07/2013/TT-TTCP ngày 31 tháng 10 năm 2013 của Thanh tra Chính phủ quy định quy trình giải quyết khiếu nại hành chính.</w:t>
            </w:r>
          </w:p>
        </w:tc>
      </w:tr>
      <w:tr w:rsidR="001B097A" w:rsidRPr="001B097A" w:rsidTr="001B097A">
        <w:tc>
          <w:tcPr>
            <w:tcW w:w="2640" w:type="dxa"/>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1B097A" w:rsidP="001B097A">
            <w:pPr>
              <w:spacing w:after="0" w:line="240" w:lineRule="auto"/>
              <w:rPr>
                <w:rFonts w:eastAsia="Times New Roman"/>
                <w:b/>
                <w:bCs/>
                <w:sz w:val="24"/>
                <w:szCs w:val="24"/>
              </w:rPr>
            </w:pPr>
            <w:r w:rsidRPr="001B097A">
              <w:rPr>
                <w:rFonts w:eastAsia="Times New Roman"/>
                <w:b/>
                <w:bCs/>
                <w:sz w:val="24"/>
                <w:szCs w:val="24"/>
              </w:rPr>
              <w:t>Tệp tin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80" w:type="dxa"/>
              <w:left w:w="225" w:type="dxa"/>
              <w:bottom w:w="180" w:type="dxa"/>
              <w:right w:w="225" w:type="dxa"/>
            </w:tcMar>
            <w:hideMark/>
          </w:tcPr>
          <w:p w:rsidR="001B097A" w:rsidRPr="001B097A" w:rsidRDefault="005873B1" w:rsidP="001B097A">
            <w:pPr>
              <w:spacing w:before="100" w:beforeAutospacing="1" w:after="100" w:afterAutospacing="1" w:line="240" w:lineRule="auto"/>
              <w:rPr>
                <w:rFonts w:eastAsia="Times New Roman"/>
                <w:sz w:val="24"/>
                <w:szCs w:val="24"/>
              </w:rPr>
            </w:pPr>
            <w:hyperlink r:id="rId5" w:history="1">
              <w:r w:rsidR="001B097A" w:rsidRPr="001B097A">
                <w:rPr>
                  <w:rFonts w:eastAsia="Times New Roman"/>
                  <w:color w:val="004394"/>
                  <w:sz w:val="24"/>
                  <w:szCs w:val="24"/>
                </w:rPr>
                <w:t>Không có</w:t>
              </w:r>
            </w:hyperlink>
          </w:p>
        </w:tc>
      </w:tr>
    </w:tbl>
    <w:p w:rsidR="00EB1729" w:rsidRPr="001B097A" w:rsidRDefault="00EB1729"/>
    <w:sectPr w:rsidR="00EB1729" w:rsidRPr="001B097A" w:rsidSect="001B097A">
      <w:pgSz w:w="11909" w:h="16834" w:code="9"/>
      <w:pgMar w:top="1138" w:right="864"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A"/>
    <w:rsid w:val="001B097A"/>
    <w:rsid w:val="00506E1D"/>
    <w:rsid w:val="005873B1"/>
    <w:rsid w:val="00EB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97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97A"/>
    <w:rPr>
      <w:rFonts w:eastAsia="Times New Roman"/>
      <w:b/>
      <w:bCs/>
      <w:sz w:val="36"/>
      <w:szCs w:val="36"/>
    </w:rPr>
  </w:style>
  <w:style w:type="paragraph" w:styleId="NormalWeb">
    <w:name w:val="Normal (Web)"/>
    <w:basedOn w:val="Normal"/>
    <w:uiPriority w:val="99"/>
    <w:unhideWhenUsed/>
    <w:rsid w:val="001B097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B097A"/>
    <w:rPr>
      <w:b/>
      <w:bCs/>
    </w:rPr>
  </w:style>
  <w:style w:type="character" w:styleId="Hyperlink">
    <w:name w:val="Hyperlink"/>
    <w:basedOn w:val="DefaultParagraphFont"/>
    <w:uiPriority w:val="99"/>
    <w:semiHidden/>
    <w:unhideWhenUsed/>
    <w:rsid w:val="001B09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97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97A"/>
    <w:rPr>
      <w:rFonts w:eastAsia="Times New Roman"/>
      <w:b/>
      <w:bCs/>
      <w:sz w:val="36"/>
      <w:szCs w:val="36"/>
    </w:rPr>
  </w:style>
  <w:style w:type="paragraph" w:styleId="NormalWeb">
    <w:name w:val="Normal (Web)"/>
    <w:basedOn w:val="Normal"/>
    <w:uiPriority w:val="99"/>
    <w:unhideWhenUsed/>
    <w:rsid w:val="001B097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B097A"/>
    <w:rPr>
      <w:b/>
      <w:bCs/>
    </w:rPr>
  </w:style>
  <w:style w:type="character" w:styleId="Hyperlink">
    <w:name w:val="Hyperlink"/>
    <w:basedOn w:val="DefaultParagraphFont"/>
    <w:uiPriority w:val="99"/>
    <w:semiHidden/>
    <w:unhideWhenUsed/>
    <w:rsid w:val="001B0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74231">
      <w:bodyDiv w:val="1"/>
      <w:marLeft w:val="0"/>
      <w:marRight w:val="0"/>
      <w:marTop w:val="0"/>
      <w:marBottom w:val="0"/>
      <w:divBdr>
        <w:top w:val="none" w:sz="0" w:space="0" w:color="auto"/>
        <w:left w:val="none" w:sz="0" w:space="0" w:color="auto"/>
        <w:bottom w:val="none" w:sz="0" w:space="0" w:color="auto"/>
        <w:right w:val="none" w:sz="0" w:space="0" w:color="auto"/>
      </w:divBdr>
      <w:divsChild>
        <w:div w:id="805899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tuphap.hochiminhcity.gov.vn/thu-tuc-hanh-chinh?p_p_id=16_WAR_neoopsportlet&amp;p_p_lifecycle=0&amp;p_p_state=normal&amp;_16_WAR_neoopsportlet_recordTypeId=335&amp;_16_WAR_neoopsportlet_mvcPath=%2Fhtml%2Fportlet%2Fops%2Fprocedure%2Fdetail.jsp&amp;_16_WAR_neoopsportlet_redirect=https%3A%2F%2Fsotuphap.hochiminhcity.gov.vn%2Fthu-tuc-hanh-chinh%3Fp_p_id%3D16_WAR_neoopsportlet%26p_p_lifecycle%3D0%26p_p_state%3Dnormal%26p_p_mode%3Dview%26_16_WAR_neoopsportlet_mvcPath%3D%252Fhtml%252Fportlet%252Fops%252Fprocedure%252Fview.jsp%26_16_WAR_neoopsportlet_keywords%3D%26_16_WAR_neoopsportlet_unitCode%3D%26_16_WAR_neoopsportlet_fieldCode%3DKNTC%26_16_WAR_neoopsportlet_cur%3D1%26_16_WAR_neoopsportlet_delta%3D20%26_16_WAR_neoopsportlet_advancedSearch%3Dfalse%26_16_WAR_neoopsportlet_andOperator%3Dtrue%26_16_WAR_neoopsportlet_resetCur%3D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WIN7X64</cp:lastModifiedBy>
  <cp:revision>2</cp:revision>
  <dcterms:created xsi:type="dcterms:W3CDTF">2021-03-03T12:23:00Z</dcterms:created>
  <dcterms:modified xsi:type="dcterms:W3CDTF">2021-03-03T12:23:00Z</dcterms:modified>
</cp:coreProperties>
</file>